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1153" w14:textId="77777777" w:rsidR="00B27764" w:rsidRPr="00597803" w:rsidRDefault="00B27764" w:rsidP="00B27764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597803">
        <w:rPr>
          <w:rFonts w:ascii="Times New Roman" w:hAnsi="Times New Roman" w:cs="Times New Roman"/>
          <w:b/>
          <w:sz w:val="28"/>
          <w:szCs w:val="28"/>
        </w:rPr>
        <w:t>附件</w:t>
      </w:r>
      <w:r w:rsidRPr="00597803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5978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7803">
        <w:rPr>
          <w:rFonts w:ascii="Times New Roman" w:hAnsi="Times New Roman" w:cs="Times New Roman" w:hint="eastAsia"/>
          <w:b/>
          <w:sz w:val="28"/>
          <w:szCs w:val="28"/>
        </w:rPr>
        <w:t>材料和模型建造要求</w:t>
      </w:r>
    </w:p>
    <w:p w14:paraId="411B7DCF" w14:textId="77777777" w:rsidR="00B27764" w:rsidRPr="00597803" w:rsidRDefault="00B27764" w:rsidP="00B27764">
      <w:pPr>
        <w:jc w:val="center"/>
        <w:rPr>
          <w:rFonts w:ascii="黑体" w:eastAsia="黑体" w:hAnsi="黑体"/>
          <w:sz w:val="32"/>
          <w:szCs w:val="32"/>
        </w:rPr>
      </w:pPr>
      <w:r w:rsidRPr="00597803">
        <w:rPr>
          <w:rFonts w:ascii="黑体" w:eastAsia="黑体" w:hAnsi="黑体" w:hint="eastAsia"/>
          <w:sz w:val="32"/>
          <w:szCs w:val="32"/>
        </w:rPr>
        <w:t>复合地基</w:t>
      </w:r>
    </w:p>
    <w:p w14:paraId="56B6542D" w14:textId="77777777" w:rsidR="00B27764" w:rsidRDefault="00B27764" w:rsidP="00B2776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>材料要求</w:t>
      </w:r>
    </w:p>
    <w:p w14:paraId="2BC8245B" w14:textId="77777777" w:rsidR="00B27764" w:rsidRPr="00597803" w:rsidRDefault="00B27764" w:rsidP="00B27764">
      <w:pPr>
        <w:pStyle w:val="Default"/>
        <w:spacing w:line="400" w:lineRule="exact"/>
        <w:jc w:val="both"/>
        <w:rPr>
          <w:b/>
        </w:rPr>
      </w:pPr>
      <w:r w:rsidRPr="00597803">
        <w:rPr>
          <w:b/>
        </w:rPr>
        <w:t xml:space="preserve">1.1 </w:t>
      </w:r>
      <w:r w:rsidRPr="00597803">
        <w:rPr>
          <w:b/>
        </w:rPr>
        <w:t>举办方提供以下设备与材料（比赛前</w:t>
      </w:r>
      <w:r w:rsidRPr="00597803">
        <w:rPr>
          <w:b/>
        </w:rPr>
        <w:t>15</w:t>
      </w:r>
      <w:r w:rsidRPr="00597803">
        <w:rPr>
          <w:b/>
        </w:rPr>
        <w:t>分钟由参赛队检查确认）：</w:t>
      </w:r>
    </w:p>
    <w:p w14:paraId="38278103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木</w:t>
      </w:r>
      <w:r>
        <w:rPr>
          <w:rFonts w:ascii="Times New Roman" w:hAnsi="Times New Roman" w:cs="Times New Roman"/>
        </w:rPr>
        <w:t>制的模型槽，内壁尺寸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0cm×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0cm×40 cm</w:t>
      </w:r>
      <w:r>
        <w:rPr>
          <w:rFonts w:ascii="Times New Roman" w:hAnsi="Times New Roman" w:cs="Times New Roman"/>
        </w:rPr>
        <w:t>（长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>宽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>高）</w:t>
      </w:r>
      <w:r>
        <w:rPr>
          <w:rFonts w:ascii="Times New Roman" w:hAnsi="Times New Roman" w:cs="Times New Roman" w:hint="eastAsia"/>
        </w:rPr>
        <w:t>，如图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所示。</w:t>
      </w:r>
    </w:p>
    <w:p w14:paraId="5E8D34A4" w14:textId="77777777" w:rsidR="00B27764" w:rsidRDefault="00B27764" w:rsidP="00B27764">
      <w:pPr>
        <w:spacing w:beforeLines="50" w:before="156" w:afterLines="50" w:after="156"/>
        <w:jc w:val="center"/>
      </w:pPr>
      <w:r w:rsidRPr="00D03418">
        <w:rPr>
          <w:noProof/>
        </w:rPr>
        <w:drawing>
          <wp:inline distT="0" distB="0" distL="0" distR="0" wp14:anchorId="5924B379" wp14:editId="70060A23">
            <wp:extent cx="4203360" cy="2617350"/>
            <wp:effectExtent l="0" t="0" r="6985" b="0"/>
            <wp:docPr id="1" name="图片 1" descr="F:\wechat\WeChat Files\WeChat Files\gutian377309\FileStorage\Temp\ed7c13be62278e0844cd66a31b6eb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\WeChat Files\WeChat Files\gutian377309\FileStorage\Temp\ed7c13be62278e0844cd66a31b6ebf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408" cy="263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6EA3" w14:textId="77777777" w:rsidR="00B27764" w:rsidRDefault="00B27764" w:rsidP="00B27764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图1模型箱尺寸示意图</w:t>
      </w:r>
    </w:p>
    <w:p w14:paraId="5286551B" w14:textId="77777777" w:rsidR="00B27764" w:rsidRDefault="00B27764" w:rsidP="00B27764">
      <w:pPr>
        <w:jc w:val="center"/>
        <w:rPr>
          <w:rFonts w:ascii="黑体" w:eastAsia="黑体" w:hAnsi="黑体"/>
        </w:rPr>
      </w:pPr>
    </w:p>
    <w:p w14:paraId="067BCA3F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EPDM</w:t>
      </w:r>
      <w:r>
        <w:rPr>
          <w:rFonts w:ascii="Times New Roman" w:hAnsi="Times New Roman" w:cs="Times New Roman"/>
        </w:rPr>
        <w:t>橡胶颗粒</w:t>
      </w:r>
      <w:r>
        <w:rPr>
          <w:rFonts w:ascii="Times New Roman" w:hAnsi="Times New Roman" w:cs="Times New Roman" w:hint="eastAsia"/>
        </w:rPr>
        <w:t>（粒径</w:t>
      </w:r>
      <w:r>
        <w:rPr>
          <w:rFonts w:ascii="Times New Roman" w:hAnsi="Times New Roman" w:cs="Times New Roman" w:hint="eastAsia"/>
        </w:rPr>
        <w:t>1-3mm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。</w:t>
      </w:r>
    </w:p>
    <w:p w14:paraId="560A99C5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细砂</w:t>
      </w:r>
    </w:p>
    <w:p w14:paraId="6FB9EDF6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A3</w:t>
      </w:r>
      <w:r>
        <w:rPr>
          <w:rFonts w:ascii="Times New Roman" w:hAnsi="Times New Roman" w:cs="Times New Roman"/>
        </w:rPr>
        <w:t>纸</w:t>
      </w:r>
      <w:r>
        <w:rPr>
          <w:rFonts w:ascii="Times New Roman" w:hAnsi="Times New Roman" w:cs="Times New Roman" w:hint="eastAsia"/>
        </w:rPr>
        <w:t>（规格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0g/m2</w:t>
      </w:r>
      <w:r>
        <w:rPr>
          <w:rFonts w:ascii="Times New Roman" w:hAnsi="Times New Roman" w:cs="Times New Roman"/>
        </w:rPr>
        <w:t>）</w:t>
      </w:r>
    </w:p>
    <w:p w14:paraId="4AEAD693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）双面胶带和透明胶带</w:t>
      </w:r>
    </w:p>
    <w:p w14:paraId="2E36A7EF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）剪刀</w:t>
      </w:r>
    </w:p>
    <w:p w14:paraId="01D55033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撒砂用的勺子、簸箕，以及装料桶装置</w:t>
      </w:r>
    </w:p>
    <w:p w14:paraId="6F7255DE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）测试用的百分表、</w:t>
      </w:r>
      <w:r>
        <w:rPr>
          <w:rFonts w:ascii="Times New Roman" w:hAnsi="Times New Roman" w:cs="Times New Roman" w:hint="eastAsia"/>
        </w:rPr>
        <w:t>百分表支架、</w:t>
      </w:r>
      <w:r>
        <w:rPr>
          <w:rFonts w:ascii="Times New Roman" w:hAnsi="Times New Roman" w:cs="Times New Roman"/>
        </w:rPr>
        <w:t>砝码</w:t>
      </w:r>
    </w:p>
    <w:p w14:paraId="10551F56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）加</w:t>
      </w:r>
      <w:r>
        <w:rPr>
          <w:rFonts w:ascii="Times New Roman" w:hAnsi="Times New Roman" w:cs="Times New Roman"/>
        </w:rPr>
        <w:t>载板一块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cm×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3cm</w:t>
      </w:r>
      <w:r>
        <w:rPr>
          <w:rFonts w:ascii="Times New Roman" w:hAnsi="Times New Roman" w:cs="Times New Roman" w:hint="eastAsia"/>
        </w:rPr>
        <w:t>厚，</w:t>
      </w:r>
      <w:r>
        <w:rPr>
          <w:rFonts w:ascii="Times New Roman" w:hAnsi="Times New Roman" w:cs="Times New Roman"/>
        </w:rPr>
        <w:t>材质为有机玻璃</w:t>
      </w:r>
    </w:p>
    <w:p w14:paraId="2C9FF033" w14:textId="77777777" w:rsidR="00B27764" w:rsidRPr="00597803" w:rsidRDefault="00B27764" w:rsidP="00B27764">
      <w:pPr>
        <w:spacing w:beforeLines="50" w:before="156"/>
        <w:rPr>
          <w:rFonts w:ascii="Times New Roman" w:hAnsi="Times New Roman"/>
          <w:b/>
        </w:rPr>
      </w:pPr>
      <w:r w:rsidRPr="00597803">
        <w:rPr>
          <w:rFonts w:ascii="Times New Roman" w:hAnsi="Times New Roman" w:cs="Times New Roman"/>
          <w:b/>
        </w:rPr>
        <w:t xml:space="preserve">1.2 </w:t>
      </w:r>
      <w:r w:rsidRPr="00597803">
        <w:rPr>
          <w:rFonts w:ascii="Times New Roman" w:hAnsi="Times New Roman" w:cs="Times New Roman"/>
          <w:b/>
        </w:rPr>
        <w:t>参赛队自备的材料（比赛前</w:t>
      </w:r>
      <w:r w:rsidRPr="00597803">
        <w:rPr>
          <w:rFonts w:ascii="Times New Roman" w:hAnsi="Times New Roman" w:cs="Times New Roman"/>
          <w:b/>
        </w:rPr>
        <w:t xml:space="preserve"> 15 </w:t>
      </w:r>
      <w:proofErr w:type="gramStart"/>
      <w:r w:rsidRPr="00597803">
        <w:rPr>
          <w:rFonts w:ascii="Times New Roman" w:hAnsi="Times New Roman" w:cs="Times New Roman"/>
          <w:b/>
        </w:rPr>
        <w:t>分钟由</w:t>
      </w:r>
      <w:proofErr w:type="gramEnd"/>
      <w:r w:rsidRPr="00597803">
        <w:rPr>
          <w:rFonts w:ascii="Times New Roman" w:hAnsi="Times New Roman" w:cs="Times New Roman"/>
          <w:b/>
        </w:rPr>
        <w:t>评审小组检查确认）：</w:t>
      </w:r>
    </w:p>
    <w:p w14:paraId="0ECE92B9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）尺子（型式不限）</w:t>
      </w:r>
    </w:p>
    <w:p w14:paraId="25DF6D8B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）标记用的笔（型式不限）</w:t>
      </w:r>
    </w:p>
    <w:p w14:paraId="077A3907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）经评审小组确认的自制辅助工具</w:t>
      </w:r>
    </w:p>
    <w:p w14:paraId="76EA789D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）记录本、图纸、计算器等辅助材料</w:t>
      </w:r>
    </w:p>
    <w:p w14:paraId="1C220C48" w14:textId="77777777" w:rsidR="00B27764" w:rsidRDefault="00B27764" w:rsidP="00B2776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）其它经评审小组确认可以携带的材料</w:t>
      </w:r>
    </w:p>
    <w:p w14:paraId="613DF9B3" w14:textId="77777777" w:rsidR="00B27764" w:rsidRPr="00597803" w:rsidRDefault="00B27764" w:rsidP="00B27764">
      <w:pPr>
        <w:pStyle w:val="Default"/>
        <w:spacing w:beforeLines="50" w:before="156" w:line="360" w:lineRule="auto"/>
        <w:jc w:val="both"/>
        <w:rPr>
          <w:b/>
          <w:bCs/>
        </w:rPr>
      </w:pPr>
      <w:r w:rsidRPr="00597803">
        <w:rPr>
          <w:b/>
          <w:bCs/>
        </w:rPr>
        <w:lastRenderedPageBreak/>
        <w:t xml:space="preserve">2. </w:t>
      </w:r>
      <w:r w:rsidRPr="00597803">
        <w:rPr>
          <w:b/>
          <w:bCs/>
        </w:rPr>
        <w:t>复合地基制作</w:t>
      </w:r>
    </w:p>
    <w:p w14:paraId="21A1362D" w14:textId="77777777" w:rsidR="00B27764" w:rsidRDefault="00B27764" w:rsidP="00B27764">
      <w:pPr>
        <w:spacing w:line="400" w:lineRule="exact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复合地基形式不限</w:t>
      </w:r>
      <w:r>
        <w:rPr>
          <w:rFonts w:ascii="Times New Roman" w:hAnsi="Times New Roman" w:cs="Times New Roman" w:hint="eastAsia"/>
        </w:rPr>
        <w:t>（既包括竖向增强体，又包括水平增强体）</w:t>
      </w:r>
      <w:r>
        <w:rPr>
          <w:rFonts w:ascii="Times New Roman" w:hAnsi="Times New Roman" w:cs="Times New Roman"/>
        </w:rPr>
        <w:t>，但是不能将纸张粘贴在模型箱侧壁上</w:t>
      </w:r>
    </w:p>
    <w:p w14:paraId="40A81046" w14:textId="77777777" w:rsidR="00B27764" w:rsidRDefault="00B27764" w:rsidP="00B27764">
      <w:pPr>
        <w:spacing w:line="400" w:lineRule="exact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增强体的竖向长度不得大于</w:t>
      </w:r>
      <w:r>
        <w:rPr>
          <w:rFonts w:ascii="Times New Roman" w:hAnsi="Times New Roman" w:cs="Times New Roman" w:hint="eastAsia"/>
        </w:rPr>
        <w:t>30cm</w:t>
      </w:r>
      <w:r>
        <w:rPr>
          <w:rFonts w:ascii="Times New Roman" w:hAnsi="Times New Roman" w:cs="Times New Roman" w:hint="eastAsia"/>
        </w:rPr>
        <w:t>，且</w:t>
      </w:r>
      <w:r w:rsidRPr="00133D59">
        <w:rPr>
          <w:rFonts w:ascii="Times New Roman" w:hAnsi="Times New Roman" w:cs="Times New Roman" w:hint="eastAsia"/>
        </w:rPr>
        <w:t>顶部距离土体表面不得小于</w:t>
      </w:r>
      <w:r w:rsidRPr="00133D59">
        <w:rPr>
          <w:rFonts w:ascii="Times New Roman" w:hAnsi="Times New Roman" w:cs="Times New Roman" w:hint="eastAsia"/>
        </w:rPr>
        <w:t>1cm</w:t>
      </w:r>
      <w:r>
        <w:rPr>
          <w:rFonts w:ascii="Times New Roman" w:hAnsi="Times New Roman" w:cs="Times New Roman" w:hint="eastAsia"/>
        </w:rPr>
        <w:t>；水平</w:t>
      </w:r>
      <w:r>
        <w:rPr>
          <w:rFonts w:ascii="Times New Roman" w:hAnsi="Times New Roman" w:cs="Times New Roman"/>
        </w:rPr>
        <w:t>增强体平面</w:t>
      </w:r>
      <w:r>
        <w:rPr>
          <w:rFonts w:ascii="Times New Roman" w:hAnsi="Times New Roman" w:cs="Times New Roman" w:hint="eastAsia"/>
        </w:rPr>
        <w:t>形式</w:t>
      </w:r>
      <w:r>
        <w:rPr>
          <w:rFonts w:ascii="Times New Roman" w:hAnsi="Times New Roman" w:cs="Times New Roman"/>
        </w:rPr>
        <w:t>不限，距模型箱内壁的水平距离不小于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 w:hint="eastAsia"/>
        </w:rPr>
        <w:t>；施工完成后，增强体顶标</w:t>
      </w:r>
      <w:proofErr w:type="gramStart"/>
      <w:r>
        <w:rPr>
          <w:rFonts w:ascii="Times New Roman" w:hAnsi="Times New Roman" w:cs="Times New Roman" w:hint="eastAsia"/>
        </w:rPr>
        <w:t>高不能</w:t>
      </w:r>
      <w:proofErr w:type="gramEnd"/>
      <w:r>
        <w:rPr>
          <w:rFonts w:ascii="Times New Roman" w:hAnsi="Times New Roman" w:cs="Times New Roman" w:hint="eastAsia"/>
        </w:rPr>
        <w:t>超过模型箱顶。</w:t>
      </w:r>
    </w:p>
    <w:p w14:paraId="0A85228D" w14:textId="77777777" w:rsidR="00B27764" w:rsidRDefault="00B27764" w:rsidP="00B27764">
      <w:pPr>
        <w:spacing w:line="400" w:lineRule="exact"/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）复合地基材料只能</w:t>
      </w:r>
      <w:proofErr w:type="gramStart"/>
      <w:r>
        <w:rPr>
          <w:rFonts w:ascii="Times New Roman" w:hAnsi="Times New Roman" w:cs="Times New Roman"/>
        </w:rPr>
        <w:t>用主办</w:t>
      </w:r>
      <w:proofErr w:type="gramEnd"/>
      <w:r>
        <w:rPr>
          <w:rFonts w:ascii="Times New Roman" w:hAnsi="Times New Roman" w:cs="Times New Roman"/>
        </w:rPr>
        <w:t>方提供的材料。复合地基制备完成后，参赛者将所有剩余纸、双面胶带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透明胶带</w:t>
      </w:r>
      <w:r>
        <w:rPr>
          <w:rFonts w:ascii="Times New Roman" w:hAnsi="Times New Roman" w:cs="Times New Roman" w:hint="eastAsia"/>
        </w:rPr>
        <w:t>和砂</w:t>
      </w:r>
      <w:r>
        <w:rPr>
          <w:rFonts w:ascii="Times New Roman" w:hAnsi="Times New Roman" w:cs="Times New Roman"/>
        </w:rPr>
        <w:t>归还给评委，由评委称重。</w:t>
      </w:r>
      <w:proofErr w:type="gramStart"/>
      <w:r>
        <w:rPr>
          <w:rFonts w:ascii="Times New Roman" w:hAnsi="Times New Roman" w:cs="Times New Roman"/>
        </w:rPr>
        <w:t>原质量</w:t>
      </w:r>
      <w:proofErr w:type="gramEnd"/>
      <w:r>
        <w:rPr>
          <w:rFonts w:ascii="Times New Roman" w:hAnsi="Times New Roman" w:cs="Times New Roman"/>
        </w:rPr>
        <w:t>扣除</w:t>
      </w:r>
      <w:r>
        <w:rPr>
          <w:rFonts w:ascii="Times New Roman" w:hAnsi="Times New Roman" w:cs="Times New Roman" w:hint="eastAsia"/>
        </w:rPr>
        <w:t>剩余</w:t>
      </w:r>
      <w:r>
        <w:rPr>
          <w:rFonts w:ascii="Times New Roman" w:hAnsi="Times New Roman" w:cs="Times New Roman"/>
        </w:rPr>
        <w:t>质量即为材料用量。</w:t>
      </w:r>
      <w:r>
        <w:rPr>
          <w:rFonts w:ascii="Times New Roman" w:hAnsi="Times New Roman" w:cs="Times New Roman" w:hint="eastAsia"/>
        </w:rPr>
        <w:t>材料用量由两部分组成，分别</w:t>
      </w:r>
      <w:r>
        <w:rPr>
          <w:rFonts w:ascii="Times New Roman" w:hAnsi="Times New Roman" w:cs="Times New Roman"/>
        </w:rPr>
        <w:t>纸、双面胶带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透明胶带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P1</w:t>
      </w:r>
      <w:r>
        <w:rPr>
          <w:rFonts w:ascii="Times New Roman" w:hAnsi="Times New Roman" w:cs="Times New Roman" w:hint="eastAsia"/>
        </w:rPr>
        <w:t>）的用量，以及砂（</w:t>
      </w:r>
      <w:r>
        <w:rPr>
          <w:rFonts w:ascii="Times New Roman" w:hAnsi="Times New Roman" w:cs="Times New Roman" w:hint="eastAsia"/>
        </w:rPr>
        <w:t>P2</w:t>
      </w:r>
      <w:r>
        <w:rPr>
          <w:rFonts w:ascii="Times New Roman" w:hAnsi="Times New Roman" w:cs="Times New Roman" w:hint="eastAsia"/>
        </w:rPr>
        <w:t>）的用量</w:t>
      </w:r>
    </w:p>
    <w:p w14:paraId="308B3BE3" w14:textId="77777777" w:rsidR="00B27764" w:rsidRDefault="00B27764" w:rsidP="00B27764">
      <w:pPr>
        <w:spacing w:line="400" w:lineRule="exact"/>
        <w:ind w:left="420" w:hangingChars="200" w:hanging="42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b/>
          <w:bCs/>
        </w:rPr>
        <w:t>本次比赛不考虑复合地基增强体在原始地基中的建造过程，即增强</w:t>
      </w:r>
      <w:proofErr w:type="gramStart"/>
      <w:r>
        <w:rPr>
          <w:rFonts w:ascii="Times New Roman" w:hAnsi="Times New Roman" w:cs="Times New Roman"/>
          <w:b/>
          <w:bCs/>
        </w:rPr>
        <w:t>体需要</w:t>
      </w:r>
      <w:proofErr w:type="gramEnd"/>
      <w:r>
        <w:rPr>
          <w:rFonts w:ascii="Times New Roman" w:hAnsi="Times New Roman" w:cs="Times New Roman"/>
          <w:b/>
          <w:bCs/>
        </w:rPr>
        <w:t>随模型箱中</w:t>
      </w:r>
      <w:r>
        <w:rPr>
          <w:rFonts w:ascii="Times New Roman" w:hAnsi="Times New Roman" w:cs="Times New Roman" w:hint="eastAsia"/>
          <w:b/>
          <w:bCs/>
        </w:rPr>
        <w:t>橡胶颗粒</w:t>
      </w:r>
      <w:r>
        <w:rPr>
          <w:rFonts w:ascii="Times New Roman" w:hAnsi="Times New Roman" w:cs="Times New Roman"/>
          <w:b/>
          <w:bCs/>
        </w:rPr>
        <w:t>的填埋一起填埋到</w:t>
      </w:r>
      <w:r>
        <w:rPr>
          <w:rFonts w:ascii="Times New Roman" w:hAnsi="Times New Roman" w:cs="Times New Roman" w:hint="eastAsia"/>
          <w:b/>
          <w:bCs/>
        </w:rPr>
        <w:t>地基</w:t>
      </w:r>
      <w:r>
        <w:rPr>
          <w:rFonts w:ascii="Times New Roman" w:hAnsi="Times New Roman" w:cs="Times New Roman"/>
          <w:b/>
          <w:bCs/>
        </w:rPr>
        <w:t>中。</w:t>
      </w:r>
    </w:p>
    <w:p w14:paraId="688543F0" w14:textId="77777777" w:rsidR="00B27764" w:rsidRDefault="00B27764" w:rsidP="00B27764">
      <w:pPr>
        <w:autoSpaceDE w:val="0"/>
        <w:autoSpaceDN w:val="0"/>
        <w:adjustRightInd w:val="0"/>
        <w:spacing w:line="400" w:lineRule="exact"/>
        <w:ind w:left="420" w:hangingChars="200" w:hanging="420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5</w:t>
      </w:r>
      <w:r>
        <w:rPr>
          <w:rFonts w:ascii="Times New Roman" w:hAnsi="Times New Roman" w:cs="Times New Roman"/>
          <w:color w:val="000000"/>
          <w:kern w:val="0"/>
        </w:rPr>
        <w:t>）填</w:t>
      </w:r>
      <w:r>
        <w:rPr>
          <w:rFonts w:ascii="Times New Roman" w:hAnsi="Times New Roman" w:cs="Times New Roman" w:hint="eastAsia"/>
          <w:color w:val="000000"/>
          <w:kern w:val="0"/>
        </w:rPr>
        <w:t>橡胶颗粒</w:t>
      </w:r>
      <w:r>
        <w:rPr>
          <w:rFonts w:ascii="Times New Roman" w:hAnsi="Times New Roman" w:cs="Times New Roman"/>
          <w:color w:val="000000"/>
          <w:kern w:val="0"/>
        </w:rPr>
        <w:t>时撒</w:t>
      </w:r>
      <w:r>
        <w:rPr>
          <w:rFonts w:ascii="Times New Roman" w:hAnsi="Times New Roman" w:cs="Times New Roman" w:hint="eastAsia"/>
          <w:color w:val="000000"/>
          <w:kern w:val="0"/>
        </w:rPr>
        <w:t>橡胶颗粒的</w:t>
      </w:r>
      <w:proofErr w:type="gramStart"/>
      <w:r>
        <w:rPr>
          <w:rFonts w:ascii="Times New Roman" w:hAnsi="Times New Roman" w:cs="Times New Roman" w:hint="eastAsia"/>
          <w:color w:val="000000"/>
          <w:kern w:val="0"/>
        </w:rPr>
        <w:t>落距</w:t>
      </w:r>
      <w:r>
        <w:rPr>
          <w:rFonts w:ascii="Times New Roman" w:hAnsi="Times New Roman" w:cs="Times New Roman"/>
          <w:color w:val="000000"/>
          <w:kern w:val="0"/>
        </w:rPr>
        <w:t>不得</w:t>
      </w:r>
      <w:proofErr w:type="gramEnd"/>
      <w:r>
        <w:rPr>
          <w:rFonts w:ascii="Times New Roman" w:hAnsi="Times New Roman" w:cs="Times New Roman"/>
          <w:color w:val="000000"/>
          <w:kern w:val="0"/>
        </w:rPr>
        <w:t>高于模型箱顶以上</w:t>
      </w:r>
      <w:r>
        <w:rPr>
          <w:rFonts w:ascii="Times New Roman" w:hAnsi="Times New Roman" w:cs="Times New Roman"/>
          <w:color w:val="000000"/>
          <w:kern w:val="0"/>
        </w:rPr>
        <w:t>20cm</w:t>
      </w:r>
      <w:r>
        <w:rPr>
          <w:rFonts w:ascii="Times New Roman" w:hAnsi="Times New Roman" w:cs="Times New Roman"/>
          <w:color w:val="000000"/>
          <w:kern w:val="0"/>
        </w:rPr>
        <w:t>。填埋过程中不得有击实、压实、插捣、敲击等任何加密周围</w:t>
      </w:r>
      <w:r>
        <w:rPr>
          <w:rFonts w:ascii="Times New Roman" w:hAnsi="Times New Roman" w:cs="Times New Roman" w:hint="eastAsia"/>
          <w:color w:val="000000"/>
          <w:kern w:val="0"/>
        </w:rPr>
        <w:t>橡胶颗粒</w:t>
      </w:r>
      <w:r>
        <w:rPr>
          <w:rFonts w:ascii="Times New Roman" w:hAnsi="Times New Roman" w:cs="Times New Roman"/>
          <w:color w:val="000000"/>
          <w:kern w:val="0"/>
        </w:rPr>
        <w:t>的做法。</w:t>
      </w:r>
    </w:p>
    <w:p w14:paraId="5B8C2B2C" w14:textId="77777777" w:rsidR="00B27764" w:rsidRDefault="00B27764" w:rsidP="00B27764">
      <w:pPr>
        <w:autoSpaceDE w:val="0"/>
        <w:autoSpaceDN w:val="0"/>
        <w:adjustRightInd w:val="0"/>
        <w:spacing w:line="400" w:lineRule="exact"/>
        <w:ind w:left="420" w:hangingChars="200" w:hanging="420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6</w:t>
      </w:r>
      <w:r>
        <w:rPr>
          <w:rFonts w:ascii="Times New Roman" w:hAnsi="Times New Roman" w:cs="Times New Roman"/>
          <w:color w:val="000000"/>
          <w:kern w:val="0"/>
        </w:rPr>
        <w:t>）</w:t>
      </w:r>
      <w:r>
        <w:rPr>
          <w:rFonts w:ascii="Times New Roman" w:hAnsi="Times New Roman" w:cs="Times New Roman" w:hint="eastAsia"/>
          <w:color w:val="000000"/>
          <w:kern w:val="0"/>
        </w:rPr>
        <w:t>双面胶和单面胶仅用于粘结纸质模型，不允许粘橡胶颗粒；</w:t>
      </w:r>
      <w:r>
        <w:rPr>
          <w:rFonts w:ascii="Times New Roman" w:hAnsi="Times New Roman" w:cs="Times New Roman"/>
          <w:color w:val="000000"/>
          <w:kern w:val="0"/>
        </w:rPr>
        <w:t>不得给砂土</w:t>
      </w:r>
      <w:r>
        <w:rPr>
          <w:rFonts w:ascii="Times New Roman" w:hAnsi="Times New Roman" w:cs="Times New Roman" w:hint="eastAsia"/>
          <w:color w:val="000000"/>
          <w:kern w:val="0"/>
        </w:rPr>
        <w:t>、橡胶颗粒</w:t>
      </w:r>
      <w:r>
        <w:rPr>
          <w:rFonts w:ascii="Times New Roman" w:hAnsi="Times New Roman" w:cs="Times New Roman"/>
          <w:color w:val="000000"/>
          <w:kern w:val="0"/>
        </w:rPr>
        <w:t>加水。</w:t>
      </w:r>
    </w:p>
    <w:p w14:paraId="2B6120C9" w14:textId="77777777" w:rsidR="00B27764" w:rsidRDefault="00B27764" w:rsidP="00B27764">
      <w:pPr>
        <w:spacing w:line="400" w:lineRule="exact"/>
        <w:ind w:left="420" w:hangingChars="200" w:hanging="420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（</w:t>
      </w:r>
      <w:r>
        <w:rPr>
          <w:rFonts w:ascii="Times New Roman" w:hAnsi="Times New Roman" w:cs="Times New Roman"/>
          <w:color w:val="000000"/>
          <w:kern w:val="0"/>
        </w:rPr>
        <w:t>7</w:t>
      </w:r>
      <w:r>
        <w:rPr>
          <w:rFonts w:ascii="Times New Roman" w:hAnsi="Times New Roman" w:cs="Times New Roman"/>
          <w:color w:val="000000"/>
          <w:kern w:val="0"/>
        </w:rPr>
        <w:t>）</w:t>
      </w:r>
      <w:r>
        <w:rPr>
          <w:rFonts w:ascii="Times New Roman" w:hAnsi="Times New Roman" w:cs="Times New Roman" w:hint="eastAsia"/>
          <w:color w:val="000000"/>
          <w:kern w:val="0"/>
        </w:rPr>
        <w:t>橡胶颗粒</w:t>
      </w:r>
      <w:r>
        <w:rPr>
          <w:rFonts w:ascii="Times New Roman" w:hAnsi="Times New Roman" w:cs="Times New Roman"/>
          <w:color w:val="000000"/>
          <w:kern w:val="0"/>
        </w:rPr>
        <w:t>填埋至模型箱顶部后，需对</w:t>
      </w:r>
      <w:r>
        <w:rPr>
          <w:rFonts w:ascii="Times New Roman" w:hAnsi="Times New Roman" w:cs="Times New Roman" w:hint="eastAsia"/>
          <w:color w:val="000000"/>
          <w:kern w:val="0"/>
        </w:rPr>
        <w:t>橡胶颗粒</w:t>
      </w:r>
      <w:r>
        <w:rPr>
          <w:rFonts w:ascii="Times New Roman" w:hAnsi="Times New Roman" w:cs="Times New Roman"/>
          <w:color w:val="000000"/>
          <w:kern w:val="0"/>
        </w:rPr>
        <w:t>表面进行平整。</w:t>
      </w:r>
    </w:p>
    <w:p w14:paraId="483384C7" w14:textId="77777777" w:rsidR="00B27764" w:rsidRDefault="00B27764" w:rsidP="00B27764">
      <w:pPr>
        <w:pStyle w:val="Default"/>
        <w:spacing w:beforeLines="50" w:before="156" w:line="36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</w:rPr>
        <w:t>加载板和沉降测量百分表安装</w:t>
      </w:r>
    </w:p>
    <w:p w14:paraId="7B79A440" w14:textId="77777777" w:rsidR="00B27764" w:rsidRDefault="00B27764" w:rsidP="00B27764">
      <w:pPr>
        <w:pStyle w:val="Default"/>
        <w:spacing w:line="400" w:lineRule="exact"/>
        <w:ind w:left="480" w:hangingChars="200" w:hanging="480"/>
        <w:jc w:val="both"/>
      </w:pPr>
      <w:r>
        <w:t>（</w:t>
      </w:r>
      <w:r>
        <w:t>1</w:t>
      </w:r>
      <w:r>
        <w:t>）在完成复合地基制备后，需在地基表面放置加载板、砝码以及测量沉降变形的</w:t>
      </w:r>
      <w:r>
        <w:rPr>
          <w:rFonts w:hint="eastAsia"/>
        </w:rPr>
        <w:t>4</w:t>
      </w:r>
      <w:r>
        <w:t>只百分表。</w:t>
      </w:r>
    </w:p>
    <w:p w14:paraId="049F22EA" w14:textId="77777777" w:rsidR="00B27764" w:rsidRDefault="00B27764" w:rsidP="00B27764">
      <w:pPr>
        <w:pStyle w:val="Default"/>
        <w:spacing w:line="400" w:lineRule="exact"/>
        <w:ind w:left="480" w:hangingChars="200" w:hanging="480"/>
        <w:jc w:val="both"/>
      </w:pPr>
      <w:r>
        <w:t>（</w:t>
      </w:r>
      <w:r>
        <w:t>2</w:t>
      </w:r>
      <w:r>
        <w:t>）</w:t>
      </w:r>
      <w:r>
        <w:rPr>
          <w:rFonts w:hint="eastAsia"/>
        </w:rPr>
        <w:t>在放置加载板时，加载板轴线与模型箱轴线一致，其中心与模型</w:t>
      </w:r>
      <w:proofErr w:type="gramStart"/>
      <w:r>
        <w:rPr>
          <w:rFonts w:hint="eastAsia"/>
        </w:rPr>
        <w:t>箱中心</w:t>
      </w:r>
      <w:proofErr w:type="gramEnd"/>
      <w:r>
        <w:rPr>
          <w:rFonts w:hint="eastAsia"/>
        </w:rPr>
        <w:t>对齐；加载板的</w:t>
      </w:r>
      <w:r>
        <w:rPr>
          <w:rFonts w:hint="eastAsia"/>
        </w:rPr>
        <w:t>4</w:t>
      </w:r>
      <w:r>
        <w:rPr>
          <w:rFonts w:hint="eastAsia"/>
        </w:rPr>
        <w:t>个</w:t>
      </w:r>
      <w:proofErr w:type="gramStart"/>
      <w:r>
        <w:rPr>
          <w:rFonts w:hint="eastAsia"/>
        </w:rPr>
        <w:t>角设置</w:t>
      </w:r>
      <w:proofErr w:type="gramEnd"/>
      <w:r>
        <w:rPr>
          <w:rFonts w:hint="eastAsia"/>
        </w:rPr>
        <w:t>4</w:t>
      </w:r>
      <w:r>
        <w:t>个机械百分表，测点距加载板边的水平距离不大于</w:t>
      </w:r>
      <w:r>
        <w:t>2cm</w:t>
      </w:r>
      <w:r>
        <w:rPr>
          <w:rFonts w:hint="eastAsia"/>
        </w:rPr>
        <w:t>，如图</w:t>
      </w:r>
      <w:r>
        <w:rPr>
          <w:rFonts w:hint="eastAsia"/>
        </w:rPr>
        <w:t>2</w:t>
      </w:r>
      <w:r>
        <w:rPr>
          <w:rFonts w:hint="eastAsia"/>
        </w:rPr>
        <w:t>所示。</w:t>
      </w:r>
    </w:p>
    <w:p w14:paraId="680B21A1" w14:textId="77777777" w:rsidR="00B27764" w:rsidRDefault="00B27764" w:rsidP="00B27764">
      <w:pPr>
        <w:pStyle w:val="Default"/>
        <w:spacing w:line="360" w:lineRule="auto"/>
        <w:jc w:val="center"/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114300" distR="114300" wp14:anchorId="32BFD11C" wp14:editId="03C5E456">
            <wp:extent cx="2303780" cy="1970405"/>
            <wp:effectExtent l="0" t="0" r="12700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074A" w14:textId="77777777" w:rsidR="00B27764" w:rsidRDefault="00B27764" w:rsidP="00B27764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Cs w:val="21"/>
        </w:rPr>
        <w:t>图2百分表位置（图中黑点）示意图</w:t>
      </w:r>
    </w:p>
    <w:p w14:paraId="7E2267A3" w14:textId="77777777" w:rsidR="00B27764" w:rsidRDefault="00B27764" w:rsidP="00B27764">
      <w:pPr>
        <w:pStyle w:val="Default"/>
        <w:spacing w:line="360" w:lineRule="auto"/>
        <w:jc w:val="center"/>
      </w:pPr>
    </w:p>
    <w:p w14:paraId="08EEDC8B" w14:textId="77777777" w:rsidR="00B27764" w:rsidRDefault="00B27764" w:rsidP="00B27764">
      <w:pPr>
        <w:pStyle w:val="Default"/>
        <w:spacing w:line="400" w:lineRule="exact"/>
        <w:ind w:left="480" w:hangingChars="200" w:hanging="480"/>
        <w:jc w:val="both"/>
      </w:pPr>
      <w:r>
        <w:lastRenderedPageBreak/>
        <w:t>（</w:t>
      </w:r>
      <w:r>
        <w:t>3</w:t>
      </w:r>
      <w:r>
        <w:t>）百分表应垂直加载板表面安装。</w:t>
      </w:r>
    </w:p>
    <w:p w14:paraId="4E8F6B94" w14:textId="77777777" w:rsidR="00B27764" w:rsidRPr="00BB79E3" w:rsidRDefault="00B27764" w:rsidP="00B27764">
      <w:pPr>
        <w:pStyle w:val="Default"/>
        <w:spacing w:beforeLines="50" w:before="156"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>加载测试</w:t>
      </w:r>
    </w:p>
    <w:p w14:paraId="6F1EF79C" w14:textId="77777777" w:rsidR="00B27764" w:rsidRDefault="00B27764" w:rsidP="00B27764">
      <w:pPr>
        <w:pStyle w:val="Default"/>
        <w:spacing w:line="400" w:lineRule="exact"/>
        <w:ind w:left="480" w:hangingChars="200" w:hanging="480"/>
        <w:jc w:val="both"/>
      </w:pPr>
      <w:r>
        <w:t>（</w:t>
      </w:r>
      <w:r>
        <w:t>1</w:t>
      </w:r>
      <w:r>
        <w:t>）自比赛开始指令下达时刻开始计时，参赛者须在</w:t>
      </w:r>
      <w:r>
        <w:t>90</w:t>
      </w:r>
      <w:r>
        <w:t>分钟时间内完成复合地基制备全过程，超过</w:t>
      </w:r>
      <w:r>
        <w:t>90</w:t>
      </w:r>
      <w:r>
        <w:t>分钟将被扣分（见评分标准），超过</w:t>
      </w:r>
      <w:r>
        <w:t>120</w:t>
      </w:r>
      <w:r>
        <w:t>分钟将被取消资格。</w:t>
      </w:r>
    </w:p>
    <w:p w14:paraId="120E1CA0" w14:textId="77777777" w:rsidR="00B27764" w:rsidRDefault="00B27764" w:rsidP="00B27764">
      <w:pPr>
        <w:pStyle w:val="Default"/>
        <w:spacing w:line="400" w:lineRule="exact"/>
        <w:ind w:left="480" w:hangingChars="200" w:hanging="480"/>
        <w:jc w:val="both"/>
      </w:pPr>
      <w:r>
        <w:t>（</w:t>
      </w:r>
      <w:r>
        <w:t>2</w:t>
      </w:r>
      <w:r>
        <w:t>）完工验收合格后，在评审小组的监督下，由参赛者自行进行加载测试。测试方法、程序和规则如下：</w:t>
      </w:r>
    </w:p>
    <w:p w14:paraId="426CF0D4" w14:textId="77777777" w:rsidR="00B27764" w:rsidRDefault="00B27764" w:rsidP="00B27764">
      <w:pPr>
        <w:pStyle w:val="Default"/>
        <w:spacing w:line="400" w:lineRule="exact"/>
        <w:ind w:leftChars="200" w:left="900" w:hangingChars="200" w:hanging="480"/>
        <w:jc w:val="both"/>
      </w:pPr>
      <w:r>
        <w:t>（</w:t>
      </w:r>
      <w:r>
        <w:t>a</w:t>
      </w:r>
      <w:r>
        <w:t>）测试顺序按照通过完工验收申请的先后次序依次进行。从通过完工验收申请计，测试前的静</w:t>
      </w:r>
      <w:proofErr w:type="gramStart"/>
      <w:r>
        <w:t>置时间</w:t>
      </w:r>
      <w:proofErr w:type="gramEnd"/>
      <w:r>
        <w:t>需</w:t>
      </w:r>
      <w:r>
        <w:rPr>
          <w:rFonts w:hint="eastAsia"/>
        </w:rPr>
        <w:t>&gt;</w:t>
      </w:r>
      <w:r>
        <w:t>5</w:t>
      </w:r>
      <w:r>
        <w:t>分钟；</w:t>
      </w:r>
    </w:p>
    <w:p w14:paraId="685FD286" w14:textId="77777777" w:rsidR="00B27764" w:rsidRDefault="00B27764" w:rsidP="00B27764">
      <w:pPr>
        <w:pStyle w:val="Default"/>
        <w:spacing w:line="400" w:lineRule="exact"/>
        <w:ind w:leftChars="200" w:left="900" w:hangingChars="200" w:hanging="480"/>
        <w:jc w:val="both"/>
      </w:pPr>
      <w:r>
        <w:t>（</w:t>
      </w:r>
      <w:r>
        <w:t>b</w:t>
      </w:r>
      <w:r>
        <w:t>）</w:t>
      </w:r>
      <w:r>
        <w:rPr>
          <w:rFonts w:hint="eastAsia"/>
        </w:rPr>
        <w:t>正式加载前，首先施加</w:t>
      </w:r>
      <w:r>
        <w:rPr>
          <w:rFonts w:hint="eastAsia"/>
        </w:rPr>
        <w:t>2.5kg</w:t>
      </w:r>
      <w:r>
        <w:rPr>
          <w:rFonts w:hint="eastAsia"/>
        </w:rPr>
        <w:t>砝码（图</w:t>
      </w:r>
      <w:r>
        <w:rPr>
          <w:rFonts w:hint="eastAsia"/>
        </w:rPr>
        <w:t>3</w:t>
      </w:r>
      <w:r>
        <w:rPr>
          <w:rFonts w:hint="eastAsia"/>
        </w:rPr>
        <w:t>所示）作为预压荷载。施加预压荷载的目的是为了消除各种的施工间隙等。预压荷载产生的沉降量不计入总沉降量。预压荷载施加时间</w:t>
      </w:r>
      <w:r>
        <w:rPr>
          <w:rFonts w:hint="eastAsia"/>
        </w:rPr>
        <w:t>30s</w:t>
      </w:r>
      <w:r>
        <w:rPr>
          <w:rFonts w:hint="eastAsia"/>
        </w:rPr>
        <w:t>。之后，预压荷载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取下。</w:t>
      </w:r>
    </w:p>
    <w:p w14:paraId="3F1C52E5" w14:textId="77777777" w:rsidR="00B27764" w:rsidRDefault="00B27764" w:rsidP="00B27764">
      <w:pPr>
        <w:pStyle w:val="Default"/>
        <w:spacing w:line="400" w:lineRule="exact"/>
        <w:ind w:leftChars="200" w:left="900" w:hangingChars="200" w:hanging="480"/>
        <w:jc w:val="both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t>加载采用加砝码的方式逐级进行，每级增量</w:t>
      </w:r>
      <w:r>
        <w:rPr>
          <w:rFonts w:hint="eastAsia"/>
        </w:rPr>
        <w:t>2.</w:t>
      </w:r>
      <w:r>
        <w:t>5kg</w:t>
      </w:r>
      <w:r>
        <w:t>。加载砝码须对中放置，不得有意进行偏心加载。加每级砝码后，静置时间间隔为</w:t>
      </w:r>
      <w:r>
        <w:t>30s</w:t>
      </w:r>
      <w:r>
        <w:t>。每级加载</w:t>
      </w:r>
      <w:r>
        <w:t>30s</w:t>
      </w:r>
      <w:r>
        <w:t>后读取</w:t>
      </w:r>
      <w:r>
        <w:rPr>
          <w:rFonts w:hint="eastAsia"/>
        </w:rPr>
        <w:t>4</w:t>
      </w:r>
      <w:r>
        <w:t>个百分表的沉降并记录，作为该级荷载的沉降值</w:t>
      </w:r>
      <w:r>
        <w:rPr>
          <w:rFonts w:hint="eastAsia"/>
        </w:rPr>
        <w:t>。砝码大小如图三所示。</w:t>
      </w:r>
    </w:p>
    <w:p w14:paraId="3CA4EA77" w14:textId="77777777" w:rsidR="00B27764" w:rsidRDefault="00B27764" w:rsidP="00B27764">
      <w:pPr>
        <w:pStyle w:val="Default"/>
        <w:spacing w:line="400" w:lineRule="exact"/>
        <w:ind w:leftChars="200" w:left="900" w:hangingChars="200" w:hanging="480"/>
        <w:jc w:val="both"/>
      </w:pPr>
      <w:r>
        <w:t>（</w:t>
      </w:r>
      <w:r>
        <w:rPr>
          <w:rFonts w:hint="eastAsia"/>
        </w:rPr>
        <w:t>d</w:t>
      </w:r>
      <w:r>
        <w:t>）最大加载质量为</w:t>
      </w:r>
      <w:r>
        <w:rPr>
          <w:rFonts w:hint="eastAsia"/>
        </w:rPr>
        <w:t>25</w:t>
      </w:r>
      <w:r>
        <w:t>kg</w:t>
      </w:r>
      <w:r>
        <w:rPr>
          <w:rFonts w:hint="eastAsia"/>
        </w:rPr>
        <w:t>（包括预压砝码）</w:t>
      </w:r>
      <w:r>
        <w:t>。加载到最后一级时，静置</w:t>
      </w:r>
      <w:r>
        <w:t>2min</w:t>
      </w:r>
      <w:r>
        <w:t>后，读取</w:t>
      </w:r>
      <w:r>
        <w:rPr>
          <w:rFonts w:hint="eastAsia"/>
        </w:rPr>
        <w:t>4</w:t>
      </w:r>
      <w:r>
        <w:t>个百分表的沉降并记录，以</w:t>
      </w:r>
      <w:r>
        <w:rPr>
          <w:rFonts w:hint="eastAsia"/>
        </w:rPr>
        <w:t>4</w:t>
      </w:r>
      <w:r>
        <w:t>个百分表所测的沉降最大值作为最终加载沉降值。</w:t>
      </w:r>
    </w:p>
    <w:p w14:paraId="1DC3B7D1" w14:textId="77777777" w:rsidR="00B27764" w:rsidRDefault="00B27764" w:rsidP="00B27764">
      <w:pPr>
        <w:spacing w:beforeLines="50" w:before="156" w:afterLines="50" w:after="156" w:line="480" w:lineRule="auto"/>
        <w:jc w:val="center"/>
        <w:rPr>
          <w:rFonts w:ascii="黑体" w:eastAsia="黑体" w:hAnsi="黑体"/>
        </w:rPr>
      </w:pPr>
      <w:r>
        <w:rPr>
          <w:noProof/>
        </w:rPr>
        <w:drawing>
          <wp:inline distT="0" distB="0" distL="114300" distR="114300" wp14:anchorId="59D55D74" wp14:editId="696F1D67">
            <wp:extent cx="2864065" cy="1752600"/>
            <wp:effectExtent l="0" t="0" r="0" b="0"/>
            <wp:docPr id="206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rcRect l="10631" r="21577"/>
                    <a:stretch>
                      <a:fillRect/>
                    </a:stretch>
                  </pic:blipFill>
                  <pic:spPr>
                    <a:xfrm>
                      <a:off x="0" y="0"/>
                      <a:ext cx="2871094" cy="175690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6F8592" w14:textId="77777777" w:rsidR="00B27764" w:rsidRDefault="00B27764" w:rsidP="00B27764">
      <w:pPr>
        <w:jc w:val="center"/>
      </w:pPr>
      <w:r>
        <w:rPr>
          <w:rFonts w:ascii="黑体" w:eastAsia="黑体" w:hAnsi="黑体" w:hint="eastAsia"/>
          <w:szCs w:val="21"/>
        </w:rPr>
        <w:t>图</w:t>
      </w:r>
      <w:r>
        <w:rPr>
          <w:rFonts w:ascii="黑体" w:eastAsia="黑体" w:hAnsi="黑体"/>
          <w:szCs w:val="21"/>
        </w:rPr>
        <w:t>3</w:t>
      </w:r>
      <w:r>
        <w:rPr>
          <w:rFonts w:ascii="黑体" w:eastAsia="黑体" w:hAnsi="黑体" w:hint="eastAsia"/>
          <w:szCs w:val="21"/>
        </w:rPr>
        <w:t>砝码示意图</w:t>
      </w:r>
    </w:p>
    <w:p w14:paraId="68B6F24B" w14:textId="0785A93B" w:rsidR="00B27764" w:rsidRPr="005968D1" w:rsidRDefault="00B27764" w:rsidP="005968D1">
      <w:pPr>
        <w:pStyle w:val="Default"/>
        <w:spacing w:line="400" w:lineRule="exact"/>
        <w:ind w:left="480" w:hangingChars="200" w:hanging="480"/>
        <w:jc w:val="both"/>
        <w:rPr>
          <w:rFonts w:hint="eastAsia"/>
        </w:rPr>
      </w:pPr>
      <w:r>
        <w:t>（</w:t>
      </w:r>
      <w:r>
        <w:t>3</w:t>
      </w:r>
      <w:r>
        <w:t>）如果由于操作失误等原因造成没能完成整体的加载过程，认定为加载失败。如果在加载过程中的任何时刻，加载沉降达到</w:t>
      </w:r>
      <w:r>
        <w:rPr>
          <w:rFonts w:hint="eastAsia"/>
        </w:rPr>
        <w:t>20</w:t>
      </w:r>
      <w:r>
        <w:t xml:space="preserve"> mm</w:t>
      </w:r>
      <w:r>
        <w:t>，也认定为加载失败。</w:t>
      </w:r>
    </w:p>
    <w:sectPr w:rsidR="00B27764" w:rsidRPr="0059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C312" w14:textId="77777777" w:rsidR="001371EE" w:rsidRDefault="001371EE" w:rsidP="005968D1">
      <w:r>
        <w:separator/>
      </w:r>
    </w:p>
  </w:endnote>
  <w:endnote w:type="continuationSeparator" w:id="0">
    <w:p w14:paraId="4C5E8180" w14:textId="77777777" w:rsidR="001371EE" w:rsidRDefault="001371EE" w:rsidP="0059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A5AB" w14:textId="77777777" w:rsidR="001371EE" w:rsidRDefault="001371EE" w:rsidP="005968D1">
      <w:r>
        <w:separator/>
      </w:r>
    </w:p>
  </w:footnote>
  <w:footnote w:type="continuationSeparator" w:id="0">
    <w:p w14:paraId="33D20242" w14:textId="77777777" w:rsidR="001371EE" w:rsidRDefault="001371EE" w:rsidP="0059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4"/>
    <w:rsid w:val="001371EE"/>
    <w:rsid w:val="005968D1"/>
    <w:rsid w:val="00B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1E15F"/>
  <w15:chartTrackingRefBased/>
  <w15:docId w15:val="{B447BB1B-0F83-465A-B315-5A7901DC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27764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6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8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2025-04-02T03:12:00Z</dcterms:created>
  <dcterms:modified xsi:type="dcterms:W3CDTF">2025-04-02T03:24:00Z</dcterms:modified>
</cp:coreProperties>
</file>